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E11" w:rsidRPr="002A4E11" w:rsidRDefault="002A4E11" w:rsidP="002A4E11">
      <w:pPr>
        <w:spacing w:line="480" w:lineRule="auto"/>
        <w:rPr>
          <w:rFonts w:ascii="Times New Roman" w:hAnsi="Times New Roman" w:cs="Times New Roman"/>
          <w:sz w:val="24"/>
          <w:szCs w:val="24"/>
        </w:rPr>
      </w:pPr>
    </w:p>
    <w:p w:rsidR="002A4E11" w:rsidRPr="002A4E11" w:rsidRDefault="002A4E11" w:rsidP="002A4E11">
      <w:pPr>
        <w:spacing w:line="480" w:lineRule="auto"/>
        <w:rPr>
          <w:rFonts w:ascii="Times New Roman" w:hAnsi="Times New Roman" w:cs="Times New Roman"/>
          <w:sz w:val="24"/>
          <w:szCs w:val="24"/>
        </w:rPr>
      </w:pPr>
    </w:p>
    <w:p w:rsidR="002A4E11" w:rsidRPr="002A4E11" w:rsidRDefault="002A4E11" w:rsidP="002A4E11">
      <w:pPr>
        <w:spacing w:line="480" w:lineRule="auto"/>
        <w:rPr>
          <w:rFonts w:ascii="Times New Roman" w:hAnsi="Times New Roman" w:cs="Times New Roman"/>
          <w:sz w:val="24"/>
          <w:szCs w:val="24"/>
        </w:rPr>
      </w:pPr>
    </w:p>
    <w:p w:rsidR="002A4E11" w:rsidRPr="002A4E11" w:rsidRDefault="002A4E11" w:rsidP="002A4E11">
      <w:pPr>
        <w:spacing w:line="480" w:lineRule="auto"/>
        <w:rPr>
          <w:rFonts w:ascii="Times New Roman" w:hAnsi="Times New Roman" w:cs="Times New Roman"/>
          <w:sz w:val="24"/>
          <w:szCs w:val="24"/>
        </w:rPr>
      </w:pPr>
    </w:p>
    <w:p w:rsidR="002A4E11" w:rsidRPr="002A4E11" w:rsidRDefault="002A4E11" w:rsidP="002A4E11">
      <w:pPr>
        <w:spacing w:line="480" w:lineRule="auto"/>
        <w:rPr>
          <w:rFonts w:ascii="Times New Roman" w:hAnsi="Times New Roman" w:cs="Times New Roman"/>
          <w:sz w:val="24"/>
          <w:szCs w:val="24"/>
        </w:rPr>
      </w:pPr>
    </w:p>
    <w:p w:rsidR="002A4E11" w:rsidRPr="002A4E11" w:rsidRDefault="002A4E11" w:rsidP="002A4E11">
      <w:pPr>
        <w:spacing w:line="480" w:lineRule="auto"/>
        <w:rPr>
          <w:rFonts w:ascii="Times New Roman" w:hAnsi="Times New Roman" w:cs="Times New Roman"/>
          <w:sz w:val="24"/>
          <w:szCs w:val="24"/>
        </w:rPr>
      </w:pPr>
    </w:p>
    <w:p w:rsidR="002A4E11" w:rsidRPr="002A4E11" w:rsidRDefault="002A4E11" w:rsidP="002A4E11">
      <w:pPr>
        <w:spacing w:line="480" w:lineRule="auto"/>
        <w:jc w:val="center"/>
        <w:rPr>
          <w:rFonts w:ascii="Times New Roman" w:hAnsi="Times New Roman" w:cs="Times New Roman"/>
          <w:sz w:val="24"/>
          <w:szCs w:val="24"/>
        </w:rPr>
      </w:pPr>
      <w:r w:rsidRPr="002A4E11">
        <w:rPr>
          <w:rFonts w:ascii="Times New Roman" w:hAnsi="Times New Roman" w:cs="Times New Roman"/>
          <w:sz w:val="24"/>
          <w:szCs w:val="24"/>
        </w:rPr>
        <w:t>Chemical Incompatibility Analysis</w:t>
      </w:r>
    </w:p>
    <w:p w:rsidR="002A4E11" w:rsidRPr="002A4E11" w:rsidRDefault="002A4E11" w:rsidP="002A4E11">
      <w:pPr>
        <w:spacing w:line="480" w:lineRule="auto"/>
        <w:jc w:val="center"/>
        <w:rPr>
          <w:rFonts w:ascii="Times New Roman" w:hAnsi="Times New Roman" w:cs="Times New Roman"/>
          <w:sz w:val="24"/>
          <w:szCs w:val="24"/>
        </w:rPr>
      </w:pPr>
      <w:r w:rsidRPr="002A4E11">
        <w:rPr>
          <w:rFonts w:ascii="Times New Roman" w:hAnsi="Times New Roman" w:cs="Times New Roman"/>
          <w:sz w:val="24"/>
          <w:szCs w:val="24"/>
        </w:rPr>
        <w:t>Name of Student</w:t>
      </w:r>
    </w:p>
    <w:p w:rsidR="002A4E11" w:rsidRPr="002A4E11" w:rsidRDefault="002A4E11" w:rsidP="002A4E11">
      <w:pPr>
        <w:spacing w:line="480" w:lineRule="auto"/>
        <w:jc w:val="center"/>
        <w:rPr>
          <w:rFonts w:ascii="Times New Roman" w:hAnsi="Times New Roman" w:cs="Times New Roman"/>
          <w:sz w:val="24"/>
          <w:szCs w:val="24"/>
        </w:rPr>
      </w:pPr>
      <w:r w:rsidRPr="002A4E11">
        <w:rPr>
          <w:rFonts w:ascii="Times New Roman" w:hAnsi="Times New Roman" w:cs="Times New Roman"/>
          <w:sz w:val="24"/>
          <w:szCs w:val="24"/>
        </w:rPr>
        <w:t>Name of Institution</w:t>
      </w:r>
    </w:p>
    <w:p w:rsidR="002A4E11" w:rsidRPr="002A4E11" w:rsidRDefault="002A4E11" w:rsidP="002A4E11">
      <w:pPr>
        <w:spacing w:line="480" w:lineRule="auto"/>
        <w:jc w:val="center"/>
        <w:rPr>
          <w:rFonts w:ascii="Times New Roman" w:hAnsi="Times New Roman" w:cs="Times New Roman"/>
          <w:sz w:val="24"/>
          <w:szCs w:val="24"/>
        </w:rPr>
      </w:pPr>
      <w:r w:rsidRPr="002A4E11">
        <w:rPr>
          <w:rFonts w:ascii="Times New Roman" w:hAnsi="Times New Roman" w:cs="Times New Roman"/>
          <w:sz w:val="24"/>
          <w:szCs w:val="24"/>
        </w:rPr>
        <w:t xml:space="preserve">Date </w:t>
      </w:r>
      <w:r w:rsidRPr="002A4E11">
        <w:rPr>
          <w:rFonts w:ascii="Times New Roman" w:hAnsi="Times New Roman" w:cs="Times New Roman"/>
          <w:sz w:val="24"/>
          <w:szCs w:val="24"/>
        </w:rPr>
        <w:br w:type="page"/>
      </w:r>
    </w:p>
    <w:p w:rsidR="00AB3D69" w:rsidRPr="002A4E11" w:rsidRDefault="00AB3D69" w:rsidP="002A4E11">
      <w:pPr>
        <w:spacing w:line="480" w:lineRule="auto"/>
        <w:ind w:firstLine="720"/>
        <w:rPr>
          <w:rFonts w:ascii="Times New Roman" w:hAnsi="Times New Roman" w:cs="Times New Roman"/>
          <w:sz w:val="24"/>
          <w:szCs w:val="24"/>
        </w:rPr>
      </w:pPr>
      <w:r w:rsidRPr="002A4E11">
        <w:rPr>
          <w:rFonts w:ascii="Times New Roman" w:hAnsi="Times New Roman" w:cs="Times New Roman"/>
          <w:sz w:val="24"/>
          <w:szCs w:val="24"/>
        </w:rPr>
        <w:lastRenderedPageBreak/>
        <w:t>Clorox-brand household bleach is comprised of basic compounds dissolved in water that perfor</w:t>
      </w:r>
      <w:r w:rsidR="00A030B5" w:rsidRPr="002A4E11">
        <w:rPr>
          <w:rFonts w:ascii="Times New Roman" w:hAnsi="Times New Roman" w:cs="Times New Roman"/>
          <w:sz w:val="24"/>
          <w:szCs w:val="24"/>
        </w:rPr>
        <w:t>ms</w:t>
      </w:r>
      <w:r w:rsidRPr="002A4E11">
        <w:rPr>
          <w:rFonts w:ascii="Times New Roman" w:hAnsi="Times New Roman" w:cs="Times New Roman"/>
          <w:sz w:val="24"/>
          <w:szCs w:val="24"/>
        </w:rPr>
        <w:t xml:space="preserve"> bleaching, disinfecting and cleaning functions. </w:t>
      </w:r>
      <w:r w:rsidR="00A030B5" w:rsidRPr="002A4E11">
        <w:rPr>
          <w:rFonts w:ascii="Times New Roman" w:hAnsi="Times New Roman" w:cs="Times New Roman"/>
          <w:sz w:val="24"/>
          <w:szCs w:val="24"/>
        </w:rPr>
        <w:t>According to the safety data sheet, the composition of ingredients of the bleach includes sodium hypochlorite and sodium hydroxide. The percentage composition is withheld as a trade secret. However, the safety data sheet also indicates that the brand has 0.06% composition of ingredients whose toxicity is unknown</w:t>
      </w:r>
      <w:r w:rsidR="002A4E11" w:rsidRPr="002A4E11">
        <w:rPr>
          <w:rFonts w:ascii="Times New Roman" w:hAnsi="Times New Roman" w:cs="Times New Roman"/>
          <w:sz w:val="24"/>
          <w:szCs w:val="24"/>
        </w:rPr>
        <w:t xml:space="preserve"> </w:t>
      </w:r>
      <w:sdt>
        <w:sdtPr>
          <w:rPr>
            <w:rFonts w:ascii="Times New Roman" w:hAnsi="Times New Roman" w:cs="Times New Roman"/>
            <w:sz w:val="24"/>
            <w:szCs w:val="24"/>
          </w:rPr>
          <w:id w:val="181301079"/>
          <w:citation/>
        </w:sdtPr>
        <w:sdtContent>
          <w:r w:rsidR="002A4E11" w:rsidRPr="002A4E11">
            <w:rPr>
              <w:rFonts w:ascii="Times New Roman" w:hAnsi="Times New Roman" w:cs="Times New Roman"/>
              <w:sz w:val="24"/>
              <w:szCs w:val="24"/>
            </w:rPr>
            <w:fldChar w:fldCharType="begin"/>
          </w:r>
          <w:r w:rsidR="002A4E11" w:rsidRPr="002A4E11">
            <w:rPr>
              <w:rFonts w:ascii="Times New Roman" w:hAnsi="Times New Roman" w:cs="Times New Roman"/>
              <w:sz w:val="24"/>
              <w:szCs w:val="24"/>
            </w:rPr>
            <w:instrText xml:space="preserve"> CITATION The191 \l 1033 </w:instrText>
          </w:r>
          <w:r w:rsidR="002A4E11" w:rsidRPr="002A4E11">
            <w:rPr>
              <w:rFonts w:ascii="Times New Roman" w:hAnsi="Times New Roman" w:cs="Times New Roman"/>
              <w:sz w:val="24"/>
              <w:szCs w:val="24"/>
            </w:rPr>
            <w:fldChar w:fldCharType="separate"/>
          </w:r>
          <w:r w:rsidR="002A4E11" w:rsidRPr="002A4E11">
            <w:rPr>
              <w:rFonts w:ascii="Times New Roman" w:hAnsi="Times New Roman" w:cs="Times New Roman"/>
              <w:noProof/>
              <w:sz w:val="24"/>
              <w:szCs w:val="24"/>
            </w:rPr>
            <w:t>(The Clorox Company, 2019)</w:t>
          </w:r>
          <w:r w:rsidR="002A4E11" w:rsidRPr="002A4E11">
            <w:rPr>
              <w:rFonts w:ascii="Times New Roman" w:hAnsi="Times New Roman" w:cs="Times New Roman"/>
              <w:sz w:val="24"/>
              <w:szCs w:val="24"/>
            </w:rPr>
            <w:fldChar w:fldCharType="end"/>
          </w:r>
        </w:sdtContent>
      </w:sdt>
      <w:r w:rsidR="00A030B5" w:rsidRPr="002A4E11">
        <w:rPr>
          <w:rFonts w:ascii="Times New Roman" w:hAnsi="Times New Roman" w:cs="Times New Roman"/>
          <w:sz w:val="24"/>
          <w:szCs w:val="24"/>
        </w:rPr>
        <w:t xml:space="preserve">. </w:t>
      </w:r>
      <w:r w:rsidR="00B62EA6" w:rsidRPr="002A4E11">
        <w:rPr>
          <w:rFonts w:ascii="Times New Roman" w:hAnsi="Times New Roman" w:cs="Times New Roman"/>
          <w:sz w:val="24"/>
          <w:szCs w:val="24"/>
        </w:rPr>
        <w:t xml:space="preserve">In the event of a fire, extinguishing measures will be based on the local environment and water spray is deemed inefficient. The product, however, has no explosive data either from mechanical impact or static discharge. </w:t>
      </w:r>
      <w:r w:rsidR="00A030B5" w:rsidRPr="002A4E11">
        <w:rPr>
          <w:rFonts w:ascii="Times New Roman" w:hAnsi="Times New Roman" w:cs="Times New Roman"/>
          <w:sz w:val="24"/>
          <w:szCs w:val="24"/>
        </w:rPr>
        <w:t xml:space="preserve">Vinegar </w:t>
      </w:r>
      <w:r w:rsidR="00B62EA6" w:rsidRPr="002A4E11">
        <w:rPr>
          <w:rFonts w:ascii="Times New Roman" w:hAnsi="Times New Roman" w:cs="Times New Roman"/>
          <w:sz w:val="24"/>
          <w:szCs w:val="24"/>
        </w:rPr>
        <w:t>is a homemade solution comprised of acetic acid and flavoring chemical compounds. According to the safety data sheet of vinegar products, the acetic acid compound is toxic to the skin, mouth, and inhalation through vapor or dust or gas.  The safety data sheet prescribes that surrounding material can be used in the event of fire but care should be taken not to inhale fumes and smoke</w:t>
      </w:r>
      <w:r w:rsidR="002A4E11" w:rsidRPr="002A4E11">
        <w:rPr>
          <w:rFonts w:ascii="Times New Roman" w:hAnsi="Times New Roman" w:cs="Times New Roman"/>
          <w:sz w:val="24"/>
          <w:szCs w:val="24"/>
        </w:rPr>
        <w:t xml:space="preserve"> </w:t>
      </w:r>
      <w:sdt>
        <w:sdtPr>
          <w:rPr>
            <w:rFonts w:ascii="Times New Roman" w:hAnsi="Times New Roman" w:cs="Times New Roman"/>
            <w:sz w:val="24"/>
            <w:szCs w:val="24"/>
          </w:rPr>
          <w:id w:val="181301080"/>
          <w:citation/>
        </w:sdtPr>
        <w:sdtContent>
          <w:r w:rsidR="002A4E11" w:rsidRPr="002A4E11">
            <w:rPr>
              <w:rFonts w:ascii="Times New Roman" w:hAnsi="Times New Roman" w:cs="Times New Roman"/>
              <w:sz w:val="24"/>
              <w:szCs w:val="24"/>
            </w:rPr>
            <w:fldChar w:fldCharType="begin"/>
          </w:r>
          <w:r w:rsidR="002A4E11" w:rsidRPr="002A4E11">
            <w:rPr>
              <w:rFonts w:ascii="Times New Roman" w:hAnsi="Times New Roman" w:cs="Times New Roman"/>
              <w:sz w:val="24"/>
              <w:szCs w:val="24"/>
            </w:rPr>
            <w:instrText xml:space="preserve"> CITATION Int15 \l 1033 </w:instrText>
          </w:r>
          <w:r w:rsidR="002A4E11" w:rsidRPr="002A4E11">
            <w:rPr>
              <w:rFonts w:ascii="Times New Roman" w:hAnsi="Times New Roman" w:cs="Times New Roman"/>
              <w:sz w:val="24"/>
              <w:szCs w:val="24"/>
            </w:rPr>
            <w:fldChar w:fldCharType="separate"/>
          </w:r>
          <w:r w:rsidR="002A4E11" w:rsidRPr="002A4E11">
            <w:rPr>
              <w:rFonts w:ascii="Times New Roman" w:hAnsi="Times New Roman" w:cs="Times New Roman"/>
              <w:noProof/>
              <w:sz w:val="24"/>
              <w:szCs w:val="24"/>
            </w:rPr>
            <w:t>(Interline Brands, 2015)</w:t>
          </w:r>
          <w:r w:rsidR="002A4E11" w:rsidRPr="002A4E11">
            <w:rPr>
              <w:rFonts w:ascii="Times New Roman" w:hAnsi="Times New Roman" w:cs="Times New Roman"/>
              <w:sz w:val="24"/>
              <w:szCs w:val="24"/>
            </w:rPr>
            <w:fldChar w:fldCharType="end"/>
          </w:r>
        </w:sdtContent>
      </w:sdt>
      <w:r w:rsidR="00B62EA6" w:rsidRPr="002A4E11">
        <w:rPr>
          <w:rFonts w:ascii="Times New Roman" w:hAnsi="Times New Roman" w:cs="Times New Roman"/>
          <w:sz w:val="24"/>
          <w:szCs w:val="24"/>
        </w:rPr>
        <w:t xml:space="preserve">. Standards operational techniques may be used and the media may be dry chemical, carbon dioxide, foam, or water. However, the safety data sheet speculates that it may form an explosive mixture in powder form when suspended in air. </w:t>
      </w:r>
    </w:p>
    <w:p w:rsidR="00B62EA6" w:rsidRPr="002A4E11" w:rsidRDefault="00B62EA6" w:rsidP="002A4E11">
      <w:pPr>
        <w:spacing w:line="480" w:lineRule="auto"/>
        <w:ind w:firstLine="720"/>
        <w:rPr>
          <w:rFonts w:ascii="Times New Roman" w:hAnsi="Times New Roman" w:cs="Times New Roman"/>
          <w:sz w:val="24"/>
          <w:szCs w:val="24"/>
        </w:rPr>
      </w:pPr>
      <w:r w:rsidRPr="002A4E11">
        <w:rPr>
          <w:rFonts w:ascii="Times New Roman" w:hAnsi="Times New Roman" w:cs="Times New Roman"/>
          <w:sz w:val="24"/>
          <w:szCs w:val="24"/>
        </w:rPr>
        <w:t xml:space="preserve">Clorox beach sodium hydroxide component </w:t>
      </w:r>
      <w:r w:rsidR="0042702D" w:rsidRPr="002A4E11">
        <w:rPr>
          <w:rFonts w:ascii="Times New Roman" w:hAnsi="Times New Roman" w:cs="Times New Roman"/>
          <w:sz w:val="24"/>
          <w:szCs w:val="24"/>
        </w:rPr>
        <w:t>is grouped under caustics in the EPA Chemical Compatibility Chart in group 3. In the same chart, the acetic acid present in vinegar is classified under organic acids in group 2. A mixture of group 2 and group 3 presents an incompatible mixture which is characterized by heat generation and innocuous and non-flammable generation of gas</w:t>
      </w:r>
      <w:r w:rsidR="002A4E11" w:rsidRPr="002A4E11">
        <w:rPr>
          <w:rFonts w:ascii="Times New Roman" w:hAnsi="Times New Roman" w:cs="Times New Roman"/>
          <w:sz w:val="24"/>
          <w:szCs w:val="24"/>
        </w:rPr>
        <w:t xml:space="preserve"> </w:t>
      </w:r>
      <w:sdt>
        <w:sdtPr>
          <w:rPr>
            <w:rFonts w:ascii="Times New Roman" w:hAnsi="Times New Roman" w:cs="Times New Roman"/>
            <w:sz w:val="24"/>
            <w:szCs w:val="24"/>
          </w:rPr>
          <w:id w:val="181301081"/>
          <w:citation/>
        </w:sdtPr>
        <w:sdtContent>
          <w:r w:rsidR="002A4E11" w:rsidRPr="002A4E11">
            <w:rPr>
              <w:rFonts w:ascii="Times New Roman" w:hAnsi="Times New Roman" w:cs="Times New Roman"/>
              <w:sz w:val="24"/>
              <w:szCs w:val="24"/>
            </w:rPr>
            <w:fldChar w:fldCharType="begin"/>
          </w:r>
          <w:r w:rsidR="002A4E11" w:rsidRPr="002A4E11">
            <w:rPr>
              <w:rFonts w:ascii="Times New Roman" w:hAnsi="Times New Roman" w:cs="Times New Roman"/>
              <w:sz w:val="24"/>
              <w:szCs w:val="24"/>
            </w:rPr>
            <w:instrText xml:space="preserve"> CITATION Uni80 \l 1033 </w:instrText>
          </w:r>
          <w:r w:rsidR="002A4E11" w:rsidRPr="002A4E11">
            <w:rPr>
              <w:rFonts w:ascii="Times New Roman" w:hAnsi="Times New Roman" w:cs="Times New Roman"/>
              <w:sz w:val="24"/>
              <w:szCs w:val="24"/>
            </w:rPr>
            <w:fldChar w:fldCharType="separate"/>
          </w:r>
          <w:r w:rsidR="002A4E11" w:rsidRPr="002A4E11">
            <w:rPr>
              <w:rFonts w:ascii="Times New Roman" w:hAnsi="Times New Roman" w:cs="Times New Roman"/>
              <w:noProof/>
              <w:sz w:val="24"/>
              <w:szCs w:val="24"/>
            </w:rPr>
            <w:t>(United States Environmental Protection Agency, 1980)</w:t>
          </w:r>
          <w:r w:rsidR="002A4E11" w:rsidRPr="002A4E11">
            <w:rPr>
              <w:rFonts w:ascii="Times New Roman" w:hAnsi="Times New Roman" w:cs="Times New Roman"/>
              <w:sz w:val="24"/>
              <w:szCs w:val="24"/>
            </w:rPr>
            <w:fldChar w:fldCharType="end"/>
          </w:r>
        </w:sdtContent>
      </w:sdt>
      <w:r w:rsidR="0042702D" w:rsidRPr="002A4E11">
        <w:rPr>
          <w:rFonts w:ascii="Times New Roman" w:hAnsi="Times New Roman" w:cs="Times New Roman"/>
          <w:sz w:val="24"/>
          <w:szCs w:val="24"/>
        </w:rPr>
        <w:t xml:space="preserve">. </w:t>
      </w:r>
      <w:r w:rsidR="00B927CC" w:rsidRPr="002A4E11">
        <w:rPr>
          <w:rFonts w:ascii="Times New Roman" w:hAnsi="Times New Roman" w:cs="Times New Roman"/>
          <w:sz w:val="24"/>
          <w:szCs w:val="24"/>
        </w:rPr>
        <w:t xml:space="preserve">The EPA’s Chemical Compatibility chart contradicts the fire fighting measures indicated in both safety data sheets, and also indicates that the gas is innocuous, which is contrary to the safety data sheets of both brands. </w:t>
      </w:r>
    </w:p>
    <w:p w:rsidR="002A4E11" w:rsidRPr="002A4E11" w:rsidRDefault="00B927CC" w:rsidP="002A4E11">
      <w:pPr>
        <w:spacing w:line="480" w:lineRule="auto"/>
        <w:ind w:firstLine="720"/>
        <w:rPr>
          <w:rFonts w:ascii="Times New Roman" w:hAnsi="Times New Roman" w:cs="Times New Roman"/>
          <w:sz w:val="24"/>
          <w:szCs w:val="24"/>
        </w:rPr>
      </w:pPr>
      <w:r w:rsidRPr="002A4E11">
        <w:rPr>
          <w:rFonts w:ascii="Times New Roman" w:hAnsi="Times New Roman" w:cs="Times New Roman"/>
          <w:sz w:val="24"/>
          <w:szCs w:val="24"/>
        </w:rPr>
        <w:lastRenderedPageBreak/>
        <w:t xml:space="preserve">Applying the knowledge acquired from the compatibility information, storage of the two products should be safe since they both have toxicity levels. However, the mixture of the two brands does not present any explosive threat or threat of combustion, and hence they can be stored together. </w:t>
      </w:r>
    </w:p>
    <w:p w:rsidR="002A4E11" w:rsidRPr="002A4E11" w:rsidRDefault="002A4E11" w:rsidP="002A4E11">
      <w:pPr>
        <w:spacing w:line="480" w:lineRule="auto"/>
        <w:rPr>
          <w:rFonts w:ascii="Times New Roman" w:hAnsi="Times New Roman" w:cs="Times New Roman"/>
          <w:sz w:val="24"/>
          <w:szCs w:val="24"/>
        </w:rPr>
      </w:pPr>
      <w:r w:rsidRPr="002A4E11">
        <w:rPr>
          <w:rFonts w:ascii="Times New Roman" w:hAnsi="Times New Roman" w:cs="Times New Roman"/>
          <w:sz w:val="24"/>
          <w:szCs w:val="24"/>
        </w:rPr>
        <w:br w:type="page"/>
      </w:r>
    </w:p>
    <w:sdt>
      <w:sdtPr>
        <w:rPr>
          <w:rFonts w:ascii="Times New Roman" w:hAnsi="Times New Roman" w:cs="Times New Roman"/>
          <w:color w:val="auto"/>
          <w:sz w:val="24"/>
          <w:szCs w:val="24"/>
        </w:rPr>
        <w:id w:val="181301082"/>
        <w:docPartObj>
          <w:docPartGallery w:val="Bibliographies"/>
          <w:docPartUnique/>
        </w:docPartObj>
      </w:sdtPr>
      <w:sdtEndPr>
        <w:rPr>
          <w:rFonts w:eastAsiaTheme="minorEastAsia"/>
          <w:b w:val="0"/>
          <w:bCs w:val="0"/>
          <w:lang w:bidi="ar-SA"/>
        </w:rPr>
      </w:sdtEndPr>
      <w:sdtContent>
        <w:p w:rsidR="002A4E11" w:rsidRPr="002A4E11" w:rsidRDefault="002A4E11" w:rsidP="002A4E11">
          <w:pPr>
            <w:pStyle w:val="Heading1"/>
            <w:spacing w:line="480" w:lineRule="auto"/>
            <w:jc w:val="center"/>
            <w:rPr>
              <w:rFonts w:ascii="Times New Roman" w:hAnsi="Times New Roman" w:cs="Times New Roman"/>
              <w:color w:val="auto"/>
              <w:sz w:val="24"/>
              <w:szCs w:val="24"/>
            </w:rPr>
          </w:pPr>
          <w:r w:rsidRPr="002A4E11">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Content>
            <w:p w:rsidR="002A4E11" w:rsidRPr="002A4E11" w:rsidRDefault="002A4E11" w:rsidP="002A4E11">
              <w:pPr>
                <w:pStyle w:val="Bibliography"/>
                <w:spacing w:line="480" w:lineRule="auto"/>
                <w:ind w:left="720" w:hanging="720"/>
                <w:rPr>
                  <w:rFonts w:ascii="Times New Roman" w:hAnsi="Times New Roman" w:cs="Times New Roman"/>
                  <w:noProof/>
                  <w:sz w:val="24"/>
                  <w:szCs w:val="24"/>
                </w:rPr>
              </w:pPr>
              <w:r w:rsidRPr="002A4E11">
                <w:rPr>
                  <w:rFonts w:ascii="Times New Roman" w:hAnsi="Times New Roman" w:cs="Times New Roman"/>
                  <w:sz w:val="24"/>
                  <w:szCs w:val="24"/>
                </w:rPr>
                <w:fldChar w:fldCharType="begin"/>
              </w:r>
              <w:r w:rsidRPr="002A4E11">
                <w:rPr>
                  <w:rFonts w:ascii="Times New Roman" w:hAnsi="Times New Roman" w:cs="Times New Roman"/>
                  <w:sz w:val="24"/>
                  <w:szCs w:val="24"/>
                </w:rPr>
                <w:instrText xml:space="preserve"> BIBLIOGRAPHY </w:instrText>
              </w:r>
              <w:r w:rsidRPr="002A4E11">
                <w:rPr>
                  <w:rFonts w:ascii="Times New Roman" w:hAnsi="Times New Roman" w:cs="Times New Roman"/>
                  <w:sz w:val="24"/>
                  <w:szCs w:val="24"/>
                </w:rPr>
                <w:fldChar w:fldCharType="separate"/>
              </w:r>
              <w:r w:rsidRPr="002A4E11">
                <w:rPr>
                  <w:rFonts w:ascii="Times New Roman" w:hAnsi="Times New Roman" w:cs="Times New Roman"/>
                  <w:noProof/>
                  <w:sz w:val="24"/>
                  <w:szCs w:val="24"/>
                </w:rPr>
                <w:t xml:space="preserve">Interline Brands. (2015, July 20). </w:t>
              </w:r>
              <w:r w:rsidRPr="002A4E11">
                <w:rPr>
                  <w:rFonts w:ascii="Times New Roman" w:hAnsi="Times New Roman" w:cs="Times New Roman"/>
                  <w:i/>
                  <w:iCs/>
                  <w:noProof/>
                  <w:sz w:val="24"/>
                  <w:szCs w:val="24"/>
                </w:rPr>
                <w:t>Safety Data Sheet: Vinegar, All Varieties .</w:t>
              </w:r>
              <w:r w:rsidRPr="002A4E11">
                <w:rPr>
                  <w:rFonts w:ascii="Times New Roman" w:hAnsi="Times New Roman" w:cs="Times New Roman"/>
                  <w:noProof/>
                  <w:sz w:val="24"/>
                  <w:szCs w:val="24"/>
                </w:rPr>
                <w:t xml:space="preserve"> Retrieved July 14, 2019, from Interline Brands: https://content.interlinebrands.com/product/document/10057%5CGEO201690_SDS_E.pdf</w:t>
              </w:r>
            </w:p>
            <w:p w:rsidR="002A4E11" w:rsidRPr="002A4E11" w:rsidRDefault="002A4E11" w:rsidP="002A4E11">
              <w:pPr>
                <w:pStyle w:val="Bibliography"/>
                <w:spacing w:line="480" w:lineRule="auto"/>
                <w:ind w:left="720" w:hanging="720"/>
                <w:rPr>
                  <w:rFonts w:ascii="Times New Roman" w:hAnsi="Times New Roman" w:cs="Times New Roman"/>
                  <w:noProof/>
                  <w:sz w:val="24"/>
                  <w:szCs w:val="24"/>
                </w:rPr>
              </w:pPr>
              <w:r w:rsidRPr="002A4E11">
                <w:rPr>
                  <w:rFonts w:ascii="Times New Roman" w:hAnsi="Times New Roman" w:cs="Times New Roman"/>
                  <w:noProof/>
                  <w:sz w:val="24"/>
                  <w:szCs w:val="24"/>
                </w:rPr>
                <w:t xml:space="preserve">The Clorox Company. (2019, February 25). </w:t>
              </w:r>
              <w:r w:rsidRPr="002A4E11">
                <w:rPr>
                  <w:rFonts w:ascii="Times New Roman" w:hAnsi="Times New Roman" w:cs="Times New Roman"/>
                  <w:i/>
                  <w:iCs/>
                  <w:noProof/>
                  <w:sz w:val="24"/>
                  <w:szCs w:val="24"/>
                </w:rPr>
                <w:t>Clorox Lavender Bleach Safety Data Sheet.</w:t>
              </w:r>
              <w:r w:rsidRPr="002A4E11">
                <w:rPr>
                  <w:rFonts w:ascii="Times New Roman" w:hAnsi="Times New Roman" w:cs="Times New Roman"/>
                  <w:noProof/>
                  <w:sz w:val="24"/>
                  <w:szCs w:val="24"/>
                </w:rPr>
                <w:t xml:space="preserve"> Retrieved July 14, 2019, from The Clorox Company: https://www.thecloroxcompany.com/sds/clorox-lavender-bleach/</w:t>
              </w:r>
            </w:p>
            <w:p w:rsidR="002A4E11" w:rsidRPr="002A4E11" w:rsidRDefault="002A4E11" w:rsidP="002A4E11">
              <w:pPr>
                <w:pStyle w:val="Bibliography"/>
                <w:spacing w:line="480" w:lineRule="auto"/>
                <w:ind w:left="720" w:hanging="720"/>
                <w:rPr>
                  <w:rFonts w:ascii="Times New Roman" w:hAnsi="Times New Roman" w:cs="Times New Roman"/>
                  <w:noProof/>
                  <w:sz w:val="24"/>
                  <w:szCs w:val="24"/>
                </w:rPr>
              </w:pPr>
              <w:r w:rsidRPr="002A4E11">
                <w:rPr>
                  <w:rFonts w:ascii="Times New Roman" w:hAnsi="Times New Roman" w:cs="Times New Roman"/>
                  <w:noProof/>
                  <w:sz w:val="24"/>
                  <w:szCs w:val="24"/>
                </w:rPr>
                <w:t xml:space="preserve">United States Environmental Protection Agency. (1980, April). </w:t>
              </w:r>
              <w:r w:rsidRPr="002A4E11">
                <w:rPr>
                  <w:rFonts w:ascii="Times New Roman" w:hAnsi="Times New Roman" w:cs="Times New Roman"/>
                  <w:i/>
                  <w:iCs/>
                  <w:noProof/>
                  <w:sz w:val="24"/>
                  <w:szCs w:val="24"/>
                </w:rPr>
                <w:t>EPA's Chemical Compatibility Chart.</w:t>
              </w:r>
              <w:r w:rsidRPr="002A4E11">
                <w:rPr>
                  <w:rFonts w:ascii="Times New Roman" w:hAnsi="Times New Roman" w:cs="Times New Roman"/>
                  <w:noProof/>
                  <w:sz w:val="24"/>
                  <w:szCs w:val="24"/>
                </w:rPr>
                <w:t xml:space="preserve"> Retrieved July 14, 2019, from United States Environmental Protection Agency: https://www.chem.tamu.edu/rgroup/wooley/safety/10.pdf</w:t>
              </w:r>
            </w:p>
            <w:p w:rsidR="002A4E11" w:rsidRPr="002A4E11" w:rsidRDefault="002A4E11" w:rsidP="002A4E11">
              <w:pPr>
                <w:spacing w:line="480" w:lineRule="auto"/>
                <w:ind w:left="720" w:hanging="720"/>
                <w:rPr>
                  <w:rFonts w:ascii="Times New Roman" w:hAnsi="Times New Roman" w:cs="Times New Roman"/>
                  <w:sz w:val="24"/>
                  <w:szCs w:val="24"/>
                </w:rPr>
              </w:pPr>
              <w:r w:rsidRPr="002A4E11">
                <w:rPr>
                  <w:rFonts w:ascii="Times New Roman" w:hAnsi="Times New Roman" w:cs="Times New Roman"/>
                  <w:sz w:val="24"/>
                  <w:szCs w:val="24"/>
                </w:rPr>
                <w:fldChar w:fldCharType="end"/>
              </w:r>
            </w:p>
          </w:sdtContent>
        </w:sdt>
      </w:sdtContent>
    </w:sdt>
    <w:p w:rsidR="00B927CC" w:rsidRPr="002A4E11" w:rsidRDefault="00B927CC" w:rsidP="002A4E11">
      <w:pPr>
        <w:spacing w:line="480" w:lineRule="auto"/>
        <w:ind w:firstLine="720"/>
        <w:rPr>
          <w:rFonts w:ascii="Times New Roman" w:hAnsi="Times New Roman" w:cs="Times New Roman"/>
          <w:sz w:val="24"/>
          <w:szCs w:val="24"/>
        </w:rPr>
      </w:pPr>
    </w:p>
    <w:sectPr w:rsidR="00B927CC" w:rsidRPr="002A4E11" w:rsidSect="002A4E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8E9" w:rsidRDefault="00B348E9" w:rsidP="002A4E11">
      <w:pPr>
        <w:spacing w:after="0" w:line="240" w:lineRule="auto"/>
      </w:pPr>
      <w:r>
        <w:separator/>
      </w:r>
    </w:p>
  </w:endnote>
  <w:endnote w:type="continuationSeparator" w:id="1">
    <w:p w:rsidR="00B348E9" w:rsidRDefault="00B348E9" w:rsidP="002A4E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8E9" w:rsidRDefault="00B348E9" w:rsidP="002A4E11">
      <w:pPr>
        <w:spacing w:after="0" w:line="240" w:lineRule="auto"/>
      </w:pPr>
      <w:r>
        <w:separator/>
      </w:r>
    </w:p>
  </w:footnote>
  <w:footnote w:type="continuationSeparator" w:id="1">
    <w:p w:rsidR="00B348E9" w:rsidRDefault="00B348E9" w:rsidP="002A4E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11" w:rsidRPr="002A4E11" w:rsidRDefault="002A4E11">
    <w:pPr>
      <w:pStyle w:val="Header"/>
      <w:jc w:val="right"/>
      <w:rPr>
        <w:rFonts w:ascii="Times New Roman" w:hAnsi="Times New Roman" w:cs="Times New Roman"/>
        <w:sz w:val="24"/>
      </w:rPr>
    </w:pPr>
    <w:r w:rsidRPr="002A4E11">
      <w:rPr>
        <w:rFonts w:ascii="Times New Roman" w:hAnsi="Times New Roman" w:cs="Times New Roman"/>
        <w:sz w:val="24"/>
      </w:rPr>
      <w:t xml:space="preserve">CHEMICAL INCOMPATIBILITY ANALYSIS </w:t>
    </w:r>
    <w:r w:rsidRPr="002A4E11">
      <w:rPr>
        <w:rFonts w:ascii="Times New Roman" w:hAnsi="Times New Roman" w:cs="Times New Roman"/>
        <w:sz w:val="24"/>
      </w:rPr>
      <w:tab/>
    </w:r>
    <w:sdt>
      <w:sdtPr>
        <w:rPr>
          <w:rFonts w:ascii="Times New Roman" w:hAnsi="Times New Roman" w:cs="Times New Roman"/>
          <w:sz w:val="24"/>
        </w:rPr>
        <w:id w:val="181301089"/>
        <w:docPartObj>
          <w:docPartGallery w:val="Page Numbers (Top of Page)"/>
          <w:docPartUnique/>
        </w:docPartObj>
      </w:sdtPr>
      <w:sdtContent>
        <w:r w:rsidRPr="002A4E11">
          <w:rPr>
            <w:rFonts w:ascii="Times New Roman" w:hAnsi="Times New Roman" w:cs="Times New Roman"/>
            <w:sz w:val="24"/>
          </w:rPr>
          <w:fldChar w:fldCharType="begin"/>
        </w:r>
        <w:r w:rsidRPr="002A4E11">
          <w:rPr>
            <w:rFonts w:ascii="Times New Roman" w:hAnsi="Times New Roman" w:cs="Times New Roman"/>
            <w:sz w:val="24"/>
          </w:rPr>
          <w:instrText xml:space="preserve"> PAGE   \* MERGEFORMAT </w:instrText>
        </w:r>
        <w:r w:rsidRPr="002A4E11">
          <w:rPr>
            <w:rFonts w:ascii="Times New Roman" w:hAnsi="Times New Roman" w:cs="Times New Roman"/>
            <w:sz w:val="24"/>
          </w:rPr>
          <w:fldChar w:fldCharType="separate"/>
        </w:r>
        <w:r>
          <w:rPr>
            <w:rFonts w:ascii="Times New Roman" w:hAnsi="Times New Roman" w:cs="Times New Roman"/>
            <w:noProof/>
            <w:sz w:val="24"/>
          </w:rPr>
          <w:t>4</w:t>
        </w:r>
        <w:r w:rsidRPr="002A4E11">
          <w:rPr>
            <w:rFonts w:ascii="Times New Roman" w:hAnsi="Times New Roman" w:cs="Times New Roman"/>
            <w:sz w:val="24"/>
          </w:rPr>
          <w:fldChar w:fldCharType="end"/>
        </w:r>
      </w:sdtContent>
    </w:sdt>
  </w:p>
  <w:p w:rsidR="002A4E11" w:rsidRPr="002A4E11" w:rsidRDefault="002A4E11">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E11" w:rsidRPr="002A4E11" w:rsidRDefault="002A4E11">
    <w:pPr>
      <w:pStyle w:val="Header"/>
      <w:jc w:val="right"/>
      <w:rPr>
        <w:rFonts w:ascii="Times New Roman" w:hAnsi="Times New Roman" w:cs="Times New Roman"/>
        <w:sz w:val="24"/>
      </w:rPr>
    </w:pPr>
    <w:r w:rsidRPr="002A4E11">
      <w:rPr>
        <w:rFonts w:ascii="Times New Roman" w:hAnsi="Times New Roman" w:cs="Times New Roman"/>
        <w:sz w:val="24"/>
      </w:rPr>
      <w:t xml:space="preserve">Running Head: CHEMICAL INCOMPATIBILITY ANALYSIS </w:t>
    </w:r>
    <w:r w:rsidRPr="002A4E11">
      <w:rPr>
        <w:rFonts w:ascii="Times New Roman" w:hAnsi="Times New Roman" w:cs="Times New Roman"/>
        <w:sz w:val="24"/>
      </w:rPr>
      <w:tab/>
    </w:r>
    <w:sdt>
      <w:sdtPr>
        <w:rPr>
          <w:rFonts w:ascii="Times New Roman" w:hAnsi="Times New Roman" w:cs="Times New Roman"/>
          <w:sz w:val="24"/>
        </w:rPr>
        <w:id w:val="181301126"/>
        <w:docPartObj>
          <w:docPartGallery w:val="Page Numbers (Top of Page)"/>
          <w:docPartUnique/>
        </w:docPartObj>
      </w:sdtPr>
      <w:sdtContent>
        <w:r w:rsidRPr="002A4E11">
          <w:rPr>
            <w:rFonts w:ascii="Times New Roman" w:hAnsi="Times New Roman" w:cs="Times New Roman"/>
            <w:sz w:val="24"/>
          </w:rPr>
          <w:fldChar w:fldCharType="begin"/>
        </w:r>
        <w:r w:rsidRPr="002A4E11">
          <w:rPr>
            <w:rFonts w:ascii="Times New Roman" w:hAnsi="Times New Roman" w:cs="Times New Roman"/>
            <w:sz w:val="24"/>
          </w:rPr>
          <w:instrText xml:space="preserve"> PAGE   \* MERGEFORMAT </w:instrText>
        </w:r>
        <w:r w:rsidRPr="002A4E11">
          <w:rPr>
            <w:rFonts w:ascii="Times New Roman" w:hAnsi="Times New Roman" w:cs="Times New Roman"/>
            <w:sz w:val="24"/>
          </w:rPr>
          <w:fldChar w:fldCharType="separate"/>
        </w:r>
        <w:r>
          <w:rPr>
            <w:rFonts w:ascii="Times New Roman" w:hAnsi="Times New Roman" w:cs="Times New Roman"/>
            <w:noProof/>
            <w:sz w:val="24"/>
          </w:rPr>
          <w:t>1</w:t>
        </w:r>
        <w:r w:rsidRPr="002A4E11">
          <w:rPr>
            <w:rFonts w:ascii="Times New Roman" w:hAnsi="Times New Roman" w:cs="Times New Roman"/>
            <w:sz w:val="24"/>
          </w:rPr>
          <w:fldChar w:fldCharType="end"/>
        </w:r>
      </w:sdtContent>
    </w:sdt>
  </w:p>
  <w:p w:rsidR="002A4E11" w:rsidRPr="002A4E11" w:rsidRDefault="002A4E11">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B3D69"/>
    <w:rsid w:val="002A4E11"/>
    <w:rsid w:val="0042702D"/>
    <w:rsid w:val="00A030B5"/>
    <w:rsid w:val="00AB3D69"/>
    <w:rsid w:val="00B348E9"/>
    <w:rsid w:val="00B62EA6"/>
    <w:rsid w:val="00B927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4E11"/>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4E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E11"/>
    <w:rPr>
      <w:rFonts w:ascii="Tahoma" w:hAnsi="Tahoma" w:cs="Tahoma"/>
      <w:sz w:val="16"/>
      <w:szCs w:val="16"/>
    </w:rPr>
  </w:style>
  <w:style w:type="character" w:customStyle="1" w:styleId="Heading1Char">
    <w:name w:val="Heading 1 Char"/>
    <w:basedOn w:val="DefaultParagraphFont"/>
    <w:link w:val="Heading1"/>
    <w:uiPriority w:val="9"/>
    <w:rsid w:val="002A4E1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2A4E11"/>
  </w:style>
  <w:style w:type="paragraph" w:styleId="Header">
    <w:name w:val="header"/>
    <w:basedOn w:val="Normal"/>
    <w:link w:val="HeaderChar"/>
    <w:uiPriority w:val="99"/>
    <w:unhideWhenUsed/>
    <w:rsid w:val="002A4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E11"/>
  </w:style>
  <w:style w:type="paragraph" w:styleId="Footer">
    <w:name w:val="footer"/>
    <w:basedOn w:val="Normal"/>
    <w:link w:val="FooterChar"/>
    <w:uiPriority w:val="99"/>
    <w:semiHidden/>
    <w:unhideWhenUsed/>
    <w:rsid w:val="002A4E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4E1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The191</b:Tag>
    <b:SourceType>DocumentFromInternetSite</b:SourceType>
    <b:Guid>{95C69229-A856-41CB-8306-B954B31250C4}</b:Guid>
    <b:LCID>0</b:LCID>
    <b:Author>
      <b:Author>
        <b:Corporate>The Clorox Company</b:Corporate>
      </b:Author>
    </b:Author>
    <b:Title>Clorox Lavender Bleach Safety Data Sheet</b:Title>
    <b:Year>2019</b:Year>
    <b:Month>February</b:Month>
    <b:Day>25</b:Day>
    <b:InternetSiteTitle>The Clorox Company</b:InternetSiteTitle>
    <b:YearAccessed>2019</b:YearAccessed>
    <b:MonthAccessed>July</b:MonthAccessed>
    <b:DayAccessed>14</b:DayAccessed>
    <b:URL>https://www.thecloroxcompany.com/sds/clorox-lavender-bleach/</b:URL>
    <b:RefOrder>1</b:RefOrder>
  </b:Source>
  <b:Source>
    <b:Tag>Uni80</b:Tag>
    <b:SourceType>DocumentFromInternetSite</b:SourceType>
    <b:Guid>{1A103720-C625-4966-9C1F-68B9BD740604}</b:Guid>
    <b:LCID>0</b:LCID>
    <b:Author>
      <b:Author>
        <b:Corporate>United States Environmental Protection Agency</b:Corporate>
      </b:Author>
    </b:Author>
    <b:Title>EPA's Chemical Compatibility Chart</b:Title>
    <b:InternetSiteTitle>United States Environmental Protection Agency</b:InternetSiteTitle>
    <b:Year>1980</b:Year>
    <b:Month>April</b:Month>
    <b:YearAccessed>2019</b:YearAccessed>
    <b:MonthAccessed>July</b:MonthAccessed>
    <b:DayAccessed>14</b:DayAccessed>
    <b:URL>https://www.chem.tamu.edu/rgroup/wooley/safety/10.pdf</b:URL>
    <b:RefOrder>3</b:RefOrder>
  </b:Source>
  <b:Source>
    <b:Tag>Int15</b:Tag>
    <b:SourceType>DocumentFromInternetSite</b:SourceType>
    <b:Guid>{33D714B8-38AA-4F0C-8672-376FBB4A6A33}</b:Guid>
    <b:LCID>0</b:LCID>
    <b:Author>
      <b:Author>
        <b:Corporate>Interline Brands</b:Corporate>
      </b:Author>
    </b:Author>
    <b:Title>Safety Data Sheet: Vinegar, All Varieties </b:Title>
    <b:InternetSiteTitle>Interline Brands</b:InternetSiteTitle>
    <b:Year>2015</b:Year>
    <b:Month>July</b:Month>
    <b:Day>20</b:Day>
    <b:YearAccessed>2019</b:YearAccessed>
    <b:MonthAccessed>July</b:MonthAccessed>
    <b:DayAccessed>14</b:DayAccessed>
    <b:URL>https://content.interlinebrands.com/product/document/10057%5CGEO201690_SDS_E.pdf</b:URL>
    <b:RefOrder>2</b:RefOrder>
  </b:Source>
</b:Sources>
</file>

<file path=customXml/itemProps1.xml><?xml version="1.0" encoding="utf-8"?>
<ds:datastoreItem xmlns:ds="http://schemas.openxmlformats.org/officeDocument/2006/customXml" ds:itemID="{D5B11CC3-40AD-4FA4-9286-9525C6204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468</Words>
  <Characters>2670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2019-07-14T10:58:00Z</dcterms:created>
  <dcterms:modified xsi:type="dcterms:W3CDTF">2019-07-14T12:30:00Z</dcterms:modified>
</cp:coreProperties>
</file>